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</w:p>
    <w:p>
      <w:pPr>
        <w:spacing w:line="59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90" w:lineRule="exact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  <w:szCs w:val="44"/>
        </w:rPr>
        <w:t>实体防伪光敏章、电子专用章样式</w:t>
      </w:r>
    </w:p>
    <w:bookmarkEnd w:id="0"/>
    <w:p>
      <w:pPr>
        <w:spacing w:line="59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一、勘察设计出图实体防伪光敏章、电子专用章样式</w:t>
      </w:r>
    </w:p>
    <w:p>
      <w:pPr>
        <w:jc w:val="center"/>
      </w:pPr>
      <w:r>
        <w:drawing>
          <wp:inline distT="0" distB="0" distL="0" distR="0">
            <wp:extent cx="2700020" cy="1259840"/>
            <wp:effectExtent l="0" t="0" r="12700" b="5080"/>
            <wp:docPr id="102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259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41" w:firstLineChars="399"/>
        <w:rPr>
          <w:rFonts w:ascii="Times New Roman" w:hAnsi="Times New Roman" w:eastAsia="方正仿宋_GBK" w:cs="Times New Roman"/>
          <w:b/>
          <w:bCs/>
          <w:szCs w:val="21"/>
        </w:rPr>
      </w:pPr>
    </w:p>
    <w:p>
      <w:pPr>
        <w:ind w:firstLine="841" w:firstLineChars="399"/>
        <w:rPr>
          <w:rFonts w:ascii="Times New Roman" w:hAnsi="Times New Roman" w:eastAsia="方正仿宋_GBK" w:cs="Times New Roman"/>
          <w:b/>
          <w:bCs/>
          <w:szCs w:val="21"/>
        </w:rPr>
      </w:pPr>
      <w:r>
        <w:rPr>
          <w:rFonts w:ascii="Times New Roman" w:hAnsi="Times New Roman" w:eastAsia="方正仿宋_GBK" w:cs="Times New Roman"/>
          <w:b/>
          <w:bCs/>
          <w:szCs w:val="21"/>
        </w:rPr>
        <w:t>规格参数：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广西壮族自治区工程勘察设计出图专用章 书宋 字高0.4mm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XXXX   书宋 字高0.6mm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编号   书宋 字高0.6mm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广西壮族自治区住房和城乡建设厅监制 书宋 字高0.4mm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有效期 书宋 字高0.4mm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外线宽0.1mm 内线宽0.08mm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尺寸：35X75mm</w:t>
      </w:r>
    </w:p>
    <w:p>
      <w:pPr>
        <w:ind w:firstLine="42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822960</wp:posOffset>
            </wp:positionV>
            <wp:extent cx="3239770" cy="2160270"/>
            <wp:effectExtent l="0" t="0" r="6350" b="3810"/>
            <wp:wrapTopAndBottom/>
            <wp:docPr id="1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602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二、施工图技术审查（市政）实体防伪光敏章、电子专用章样式</w:t>
      </w:r>
    </w:p>
    <w:p>
      <w:pPr>
        <w:ind w:firstLine="841" w:firstLineChars="399"/>
        <w:rPr>
          <w:rFonts w:ascii="Times New Roman" w:hAnsi="Times New Roman" w:eastAsia="方正仿宋_GBK" w:cs="Times New Roman"/>
          <w:b/>
          <w:bCs/>
          <w:szCs w:val="21"/>
        </w:rPr>
      </w:pPr>
    </w:p>
    <w:p>
      <w:pPr>
        <w:ind w:firstLine="841" w:firstLineChars="399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b/>
          <w:bCs/>
          <w:szCs w:val="21"/>
        </w:rPr>
        <w:t>规格参数：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市政   宋黑 字高0.5mm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编号   书宋 字高0.5mm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施工图技术审查专用章 宋黑 字高0.6mm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XXX    宋黑 字高0.7mm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有效期 书宋 字高0.5mm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广西壮族自治区住房和城乡建设厅监制 宋黑 字高0.5mm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外线宽0.1mm 内线宽0.08mm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尺寸：60X90mm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三、施工图技术审查（房建）实体防伪光敏章、电子专用章样式</w:t>
      </w:r>
    </w:p>
    <w:p>
      <w:pPr>
        <w:jc w:val="center"/>
      </w:pPr>
      <w:r>
        <w:drawing>
          <wp:inline distT="0" distB="0" distL="0" distR="0">
            <wp:extent cx="3239770" cy="2160270"/>
            <wp:effectExtent l="0" t="0" r="6350" b="3810"/>
            <wp:docPr id="1028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602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41" w:firstLineChars="399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b/>
          <w:bCs/>
          <w:szCs w:val="21"/>
        </w:rPr>
        <w:t>规格参数：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房建   宋黑 字高0.5mm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编号   书宋 字高0.5mm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施工图技术审查专用章 宋黑 字高0.6mm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XXX    宋黑 字高0.7mm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有效期 书宋 字高0.5mm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广西壮族自治区住房和城乡建设厅监制 宋黑 字高0.5mm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外线宽0.1mm 内线宽0.08mm</w:t>
      </w:r>
    </w:p>
    <w:p>
      <w:pPr>
        <w:ind w:firstLine="840" w:firstLineChars="400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尺寸：60X90mm</w:t>
      </w:r>
    </w:p>
    <w:p>
      <w:pPr>
        <w:spacing w:line="590" w:lineRule="exact"/>
        <w:ind w:firstLine="482" w:firstLineChars="200"/>
        <w:jc w:val="left"/>
        <w:rPr>
          <w:rFonts w:ascii="Times New Roman" w:hAnsi="Times New Roman" w:eastAsia="方正仿宋_GBK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</w:rPr>
        <w:t>样式说明：</w:t>
      </w:r>
    </w:p>
    <w:p>
      <w:pPr>
        <w:spacing w:line="590" w:lineRule="exact"/>
        <w:ind w:firstLine="480" w:firstLineChars="200"/>
        <w:jc w:val="left"/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“广西壮族自治区住房和城乡建设厅监制”后括号内的字母为各市的代号：A南宁，B柳州，C桂林，D梧州，E北海，F崇左，G来宾，J贺州，K玉林，M河池，L百色，N钦州，P防城，R贵港。</w:t>
      </w:r>
    </w:p>
    <w:sectPr>
      <w:footerReference r:id="rId3" w:type="default"/>
      <w:pgSz w:w="11906" w:h="16838"/>
      <w:pgMar w:top="1928" w:right="1418" w:bottom="181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1" w:fontKey="{919CCA8E-6ADB-477F-89A2-D059797E7E76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5D59A6F-8A97-48F9-8FEE-5C8AC5D2B07F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621723E-C8D6-4503-AD8C-5B28EE02930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C8802DD-ECE4-4B3A-8E43-DA111FBE9A2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6ljj/64BAABE&#10;AwAADgAAAAAAAAABACAAAAAf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C715B"/>
    <w:rsid w:val="18B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2020-03-21T09:14:00Z</dcterms:created>
  <dc:creator>吴晓君1422839922</dc:creator>
  <cp:lastModifiedBy>吴晓君1422839922</cp:lastModifiedBy>
  <dcterms:modified xsi:type="dcterms:W3CDTF">2020-03-21T09:15:31Z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